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282"/>
        <w:gridCol w:w="5642"/>
      </w:tblGrid>
      <w:tr w:rsidR="006F6326" w:rsidTr="001407B9">
        <w:tc>
          <w:tcPr>
            <w:tcW w:w="428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42" w:type="dxa"/>
          </w:tcPr>
          <w:p w:rsidR="00B87695" w:rsidRDefault="002253CC" w:rsidP="00D255D6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>Award of contract to</w:t>
            </w:r>
            <w:r>
              <w:rPr>
                <w:rFonts w:ascii="Arial" w:hAnsi="Arial" w:cs="Arial"/>
              </w:rPr>
              <w:t xml:space="preserve"> </w:t>
            </w:r>
            <w:r w:rsidR="003F1CA2">
              <w:rPr>
                <w:rFonts w:ascii="Arial" w:hAnsi="Arial" w:cs="Arial"/>
              </w:rPr>
              <w:t>Kek Tech</w:t>
            </w:r>
            <w:r w:rsidR="00D255D6">
              <w:rPr>
                <w:rFonts w:ascii="Arial" w:hAnsi="Arial" w:cs="Arial"/>
              </w:rPr>
              <w:t xml:space="preserve"> Limited</w:t>
            </w:r>
            <w:r w:rsidR="003F1CA2">
              <w:rPr>
                <w:rFonts w:ascii="Arial" w:hAnsi="Arial" w:cs="Arial"/>
              </w:rPr>
              <w:t xml:space="preserve"> </w:t>
            </w:r>
            <w:r w:rsidRPr="002253CC">
              <w:rPr>
                <w:rFonts w:ascii="Arial" w:hAnsi="Arial" w:cs="Arial"/>
              </w:rPr>
              <w:t xml:space="preserve">for </w:t>
            </w:r>
            <w:r w:rsidR="00D255D6">
              <w:rPr>
                <w:rFonts w:ascii="Arial" w:hAnsi="Arial" w:cs="Arial"/>
              </w:rPr>
              <w:t xml:space="preserve">the </w:t>
            </w:r>
            <w:r w:rsidRPr="002253CC">
              <w:rPr>
                <w:rFonts w:ascii="Arial" w:hAnsi="Arial" w:cs="Arial"/>
              </w:rPr>
              <w:t xml:space="preserve">Energy Superhub Oxford </w:t>
            </w:r>
            <w:r w:rsidR="00470B9F">
              <w:rPr>
                <w:rFonts w:ascii="Arial" w:hAnsi="Arial" w:cs="Arial"/>
              </w:rPr>
              <w:t>data e</w:t>
            </w:r>
            <w:r w:rsidR="003F1CA2">
              <w:rPr>
                <w:rFonts w:ascii="Arial" w:hAnsi="Arial" w:cs="Arial"/>
              </w:rPr>
              <w:t>valuation project</w:t>
            </w:r>
          </w:p>
          <w:p w:rsidR="00470B9F" w:rsidRPr="00A96C08" w:rsidRDefault="00470B9F" w:rsidP="00D255D6">
            <w:pPr>
              <w:rPr>
                <w:rFonts w:ascii="Arial" w:hAnsi="Arial" w:cs="Arial"/>
              </w:rPr>
            </w:pPr>
          </w:p>
        </w:tc>
      </w:tr>
      <w:tr w:rsidR="002253CC" w:rsidTr="001407B9">
        <w:tc>
          <w:tcPr>
            <w:tcW w:w="4282" w:type="dxa"/>
          </w:tcPr>
          <w:p w:rsidR="002253CC" w:rsidRPr="00854133" w:rsidRDefault="002253CC" w:rsidP="002253CC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5642" w:type="dxa"/>
          </w:tcPr>
          <w:p w:rsidR="002253CC" w:rsidRPr="00A96C08" w:rsidRDefault="00284A42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4E0D08">
              <w:rPr>
                <w:rFonts w:ascii="Arial" w:hAnsi="Arial" w:cs="Arial"/>
              </w:rPr>
              <w:t>/04/22</w:t>
            </w:r>
          </w:p>
        </w:tc>
      </w:tr>
      <w:tr w:rsidR="002253CC" w:rsidTr="001407B9">
        <w:tc>
          <w:tcPr>
            <w:tcW w:w="4282" w:type="dxa"/>
          </w:tcPr>
          <w:p w:rsidR="002253CC" w:rsidRPr="00854133" w:rsidRDefault="002253CC" w:rsidP="00B05F1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5642" w:type="dxa"/>
          </w:tcPr>
          <w:p w:rsidR="003F1CA2" w:rsidRDefault="00B05F1F" w:rsidP="00D255D6">
            <w:pPr>
              <w:rPr>
                <w:rFonts w:ascii="Arial" w:hAnsi="Arial" w:cs="Arial"/>
              </w:rPr>
            </w:pPr>
            <w:r w:rsidRPr="002F6557">
              <w:rPr>
                <w:rFonts w:ascii="Arial" w:hAnsi="Arial" w:cs="Arial"/>
              </w:rPr>
              <w:t>This decision was delegated to officers</w:t>
            </w:r>
            <w:r>
              <w:rPr>
                <w:rFonts w:ascii="Arial" w:hAnsi="Arial" w:cs="Arial"/>
              </w:rPr>
              <w:t xml:space="preserve"> </w:t>
            </w:r>
            <w:r w:rsidRPr="002F6557">
              <w:rPr>
                <w:rFonts w:ascii="Arial" w:hAnsi="Arial" w:cs="Arial"/>
              </w:rPr>
              <w:t>under Part 4.4 of the Council’s Constitution:</w:t>
            </w:r>
            <w:r>
              <w:rPr>
                <w:rFonts w:ascii="Arial" w:hAnsi="Arial" w:cs="Arial"/>
              </w:rPr>
              <w:t xml:space="preserve"> </w:t>
            </w:r>
            <w:r w:rsidR="00B91620">
              <w:rPr>
                <w:rFonts w:ascii="Arial" w:hAnsi="Arial" w:cs="Arial"/>
              </w:rPr>
              <w:t>a</w:t>
            </w:r>
            <w:bookmarkStart w:id="0" w:name="_GoBack"/>
            <w:bookmarkEnd w:id="0"/>
            <w:r w:rsidRPr="002F6557">
              <w:rPr>
                <w:rFonts w:ascii="Arial" w:hAnsi="Arial" w:cs="Arial"/>
              </w:rPr>
              <w:t>ll ex</w:t>
            </w:r>
            <w:r>
              <w:rPr>
                <w:rFonts w:ascii="Arial" w:hAnsi="Arial" w:cs="Arial"/>
              </w:rPr>
              <w:t>ecutive functions except tho</w:t>
            </w:r>
            <w:r w:rsidRPr="002F655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</w:t>
            </w:r>
            <w:r w:rsidRPr="002F6557">
              <w:rPr>
                <w:rFonts w:ascii="Arial" w:hAnsi="Arial" w:cs="Arial"/>
              </w:rPr>
              <w:t xml:space="preserve"> in</w:t>
            </w:r>
            <w:r>
              <w:rPr>
                <w:rFonts w:ascii="Arial" w:hAnsi="Arial" w:cs="Arial"/>
              </w:rPr>
              <w:t xml:space="preserve"> Part 4.5,</w:t>
            </w:r>
            <w:r w:rsidRPr="002F6557">
              <w:rPr>
                <w:rFonts w:ascii="Arial" w:hAnsi="Arial" w:cs="Arial"/>
              </w:rPr>
              <w:t xml:space="preserve"> 4.6</w:t>
            </w:r>
            <w:r>
              <w:rPr>
                <w:rFonts w:ascii="Arial" w:hAnsi="Arial" w:cs="Arial"/>
              </w:rPr>
              <w:t xml:space="preserve"> and 4.7</w:t>
            </w:r>
            <w:r w:rsidRPr="002F6557">
              <w:rPr>
                <w:rFonts w:ascii="Arial" w:hAnsi="Arial" w:cs="Arial"/>
              </w:rPr>
              <w:t xml:space="preserve"> are delegated to the</w:t>
            </w:r>
            <w:r>
              <w:rPr>
                <w:rFonts w:ascii="Arial" w:hAnsi="Arial" w:cs="Arial"/>
              </w:rPr>
              <w:t xml:space="preserve"> </w:t>
            </w:r>
            <w:r w:rsidRPr="002F6557">
              <w:rPr>
                <w:rFonts w:ascii="Arial" w:hAnsi="Arial" w:cs="Arial"/>
              </w:rPr>
              <w:t xml:space="preserve">officers in the senior </w:t>
            </w:r>
            <w:r>
              <w:rPr>
                <w:rFonts w:ascii="Arial" w:hAnsi="Arial" w:cs="Arial"/>
              </w:rPr>
              <w:t>m</w:t>
            </w:r>
            <w:r w:rsidRPr="002F6557">
              <w:rPr>
                <w:rFonts w:ascii="Arial" w:hAnsi="Arial" w:cs="Arial"/>
              </w:rPr>
              <w:t>anagement structure.</w:t>
            </w:r>
          </w:p>
          <w:p w:rsidR="00470B9F" w:rsidRPr="00E20A54" w:rsidRDefault="00470B9F" w:rsidP="00D255D6">
            <w:pPr>
              <w:rPr>
                <w:rFonts w:ascii="Arial" w:hAnsi="Arial" w:cs="Arial"/>
              </w:rPr>
            </w:pPr>
          </w:p>
        </w:tc>
      </w:tr>
      <w:tr w:rsidR="00B87695" w:rsidTr="001407B9">
        <w:tc>
          <w:tcPr>
            <w:tcW w:w="4282" w:type="dxa"/>
          </w:tcPr>
          <w:p w:rsidR="003B1236" w:rsidRPr="00B87695" w:rsidRDefault="00854133" w:rsidP="00B05F1F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42" w:type="dxa"/>
          </w:tcPr>
          <w:p w:rsidR="006247C4" w:rsidRDefault="002253CC" w:rsidP="003F1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award a contract to </w:t>
            </w:r>
            <w:r w:rsidR="003F1CA2">
              <w:rPr>
                <w:rFonts w:ascii="Arial" w:hAnsi="Arial" w:cs="Arial"/>
              </w:rPr>
              <w:t>Kek Tech Limited</w:t>
            </w:r>
            <w:r>
              <w:rPr>
                <w:rFonts w:ascii="Arial" w:hAnsi="Arial" w:cs="Arial"/>
              </w:rPr>
              <w:t xml:space="preserve"> for </w:t>
            </w:r>
            <w:r w:rsidR="004E0D08">
              <w:rPr>
                <w:rFonts w:ascii="Arial" w:hAnsi="Arial" w:cs="Arial"/>
              </w:rPr>
              <w:t xml:space="preserve">the </w:t>
            </w:r>
            <w:r w:rsidR="003F1CA2">
              <w:rPr>
                <w:rFonts w:ascii="Arial" w:hAnsi="Arial" w:cs="Arial"/>
              </w:rPr>
              <w:t xml:space="preserve">completion of data analysis and data monitoring </w:t>
            </w:r>
            <w:r w:rsidR="00D255D6">
              <w:rPr>
                <w:rFonts w:ascii="Arial" w:hAnsi="Arial" w:cs="Arial"/>
              </w:rPr>
              <w:t>system provision as part of the E</w:t>
            </w:r>
            <w:r w:rsidR="00470B9F">
              <w:rPr>
                <w:rFonts w:ascii="Arial" w:hAnsi="Arial" w:cs="Arial"/>
              </w:rPr>
              <w:t xml:space="preserve">nergy </w:t>
            </w:r>
            <w:r w:rsidR="00D255D6">
              <w:rPr>
                <w:rFonts w:ascii="Arial" w:hAnsi="Arial" w:cs="Arial"/>
              </w:rPr>
              <w:t>S</w:t>
            </w:r>
            <w:r w:rsidR="00470B9F">
              <w:rPr>
                <w:rFonts w:ascii="Arial" w:hAnsi="Arial" w:cs="Arial"/>
              </w:rPr>
              <w:t xml:space="preserve">uperhub </w:t>
            </w:r>
            <w:r w:rsidR="00D255D6">
              <w:rPr>
                <w:rFonts w:ascii="Arial" w:hAnsi="Arial" w:cs="Arial"/>
              </w:rPr>
              <w:t>O</w:t>
            </w:r>
            <w:r w:rsidR="00470B9F">
              <w:rPr>
                <w:rFonts w:ascii="Arial" w:hAnsi="Arial" w:cs="Arial"/>
              </w:rPr>
              <w:t>xford</w:t>
            </w:r>
            <w:r w:rsidR="00D255D6">
              <w:rPr>
                <w:rFonts w:ascii="Arial" w:hAnsi="Arial" w:cs="Arial"/>
              </w:rPr>
              <w:t xml:space="preserve"> Data Evaluation project. </w:t>
            </w:r>
            <w:r w:rsidR="00470B9F">
              <w:rPr>
                <w:rFonts w:ascii="Arial" w:hAnsi="Arial" w:cs="Arial"/>
              </w:rPr>
              <w:t xml:space="preserve"> The value of the contract is £20,000.</w:t>
            </w:r>
          </w:p>
          <w:p w:rsidR="00470B9F" w:rsidRPr="00A96C08" w:rsidRDefault="00470B9F" w:rsidP="003F1CA2">
            <w:pPr>
              <w:rPr>
                <w:rFonts w:ascii="Arial" w:hAnsi="Arial" w:cs="Arial"/>
              </w:rPr>
            </w:pPr>
          </w:p>
        </w:tc>
      </w:tr>
      <w:tr w:rsidR="00373F5D" w:rsidTr="001407B9">
        <w:tc>
          <w:tcPr>
            <w:tcW w:w="4282" w:type="dxa"/>
          </w:tcPr>
          <w:p w:rsidR="00373F5D" w:rsidRPr="00373F5D" w:rsidRDefault="00373F5D" w:rsidP="00B05F1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5642" w:type="dxa"/>
          </w:tcPr>
          <w:p w:rsidR="00373F5D" w:rsidRDefault="00470B9F" w:rsidP="004E0D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</w:t>
            </w:r>
            <w:r w:rsidR="003F1CA2">
              <w:rPr>
                <w:rFonts w:ascii="Arial" w:hAnsi="Arial" w:cs="Arial"/>
              </w:rPr>
              <w:t xml:space="preserve"> a data analysis and monitoring system as part of the Energy Superhub Oxford project.</w:t>
            </w:r>
          </w:p>
          <w:p w:rsidR="00470B9F" w:rsidRPr="00A96C08" w:rsidRDefault="00470B9F" w:rsidP="004E0D08">
            <w:pPr>
              <w:rPr>
                <w:rFonts w:ascii="Arial" w:hAnsi="Arial" w:cs="Arial"/>
              </w:rPr>
            </w:pPr>
          </w:p>
        </w:tc>
      </w:tr>
      <w:tr w:rsidR="00DC2E8D" w:rsidTr="001407B9">
        <w:tc>
          <w:tcPr>
            <w:tcW w:w="4282" w:type="dxa"/>
          </w:tcPr>
          <w:p w:rsidR="00DC2E8D" w:rsidRPr="008E4629" w:rsidRDefault="008E4629" w:rsidP="00B05F1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5642" w:type="dxa"/>
          </w:tcPr>
          <w:p w:rsidR="0060658F" w:rsidRPr="0060658F" w:rsidRDefault="0060658F" w:rsidP="0060658F">
            <w:pPr>
              <w:rPr>
                <w:rFonts w:ascii="Arial" w:hAnsi="Arial" w:cs="Arial"/>
              </w:rPr>
            </w:pPr>
            <w:r w:rsidRPr="0060658F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initial works were completed by </w:t>
            </w:r>
            <w:r w:rsidRPr="0060658F">
              <w:rPr>
                <w:rFonts w:ascii="Arial" w:hAnsi="Arial" w:cs="Arial"/>
              </w:rPr>
              <w:t>contractor Gabriel Yoong</w:t>
            </w:r>
            <w:r w:rsidR="00470B9F">
              <w:rPr>
                <w:rFonts w:ascii="Arial" w:hAnsi="Arial" w:cs="Arial"/>
              </w:rPr>
              <w:t xml:space="preserve">, with assistance from </w:t>
            </w:r>
            <w:r>
              <w:rPr>
                <w:rFonts w:ascii="Arial" w:hAnsi="Arial" w:cs="Arial"/>
              </w:rPr>
              <w:t xml:space="preserve">the founder of Kek Tech. Gabriel Yoong is </w:t>
            </w:r>
            <w:r w:rsidRPr="0060658F">
              <w:rPr>
                <w:rFonts w:ascii="Arial" w:hAnsi="Arial" w:cs="Arial"/>
              </w:rPr>
              <w:t>no longe</w:t>
            </w:r>
            <w:r>
              <w:rPr>
                <w:rFonts w:ascii="Arial" w:hAnsi="Arial" w:cs="Arial"/>
              </w:rPr>
              <w:t>r able to complete the project. Due to the complexity and unique intricacies of the project it is hug</w:t>
            </w:r>
            <w:r w:rsidR="00470B9F">
              <w:rPr>
                <w:rFonts w:ascii="Arial" w:hAnsi="Arial" w:cs="Arial"/>
              </w:rPr>
              <w:t>ely time and cost effective for Kek Tech Limited, which is already</w:t>
            </w:r>
            <w:r>
              <w:rPr>
                <w:rFonts w:ascii="Arial" w:hAnsi="Arial" w:cs="Arial"/>
              </w:rPr>
              <w:t xml:space="preserve"> familiar with the project</w:t>
            </w:r>
            <w:r w:rsidR="00470B9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to complete the remainder of the </w:t>
            </w:r>
            <w:r w:rsidR="00D255D6">
              <w:rPr>
                <w:rFonts w:ascii="Arial" w:hAnsi="Arial" w:cs="Arial"/>
              </w:rPr>
              <w:t>work</w:t>
            </w:r>
            <w:r>
              <w:rPr>
                <w:rFonts w:ascii="Arial" w:hAnsi="Arial" w:cs="Arial"/>
              </w:rPr>
              <w:t xml:space="preserve">. </w:t>
            </w:r>
            <w:r w:rsidRPr="0060658F">
              <w:rPr>
                <w:rFonts w:ascii="Arial" w:hAnsi="Arial" w:cs="Arial"/>
              </w:rPr>
              <w:t xml:space="preserve">The contractor rates provided are very competitive </w:t>
            </w:r>
            <w:r>
              <w:rPr>
                <w:rFonts w:ascii="Arial" w:hAnsi="Arial" w:cs="Arial"/>
              </w:rPr>
              <w:t xml:space="preserve">and the project must be completed to comply with the Innovate funding. </w:t>
            </w:r>
            <w:r w:rsidRPr="0060658F">
              <w:rPr>
                <w:rFonts w:ascii="Arial" w:hAnsi="Arial" w:cs="Arial"/>
              </w:rPr>
              <w:t xml:space="preserve"> </w:t>
            </w:r>
          </w:p>
          <w:p w:rsidR="0060658F" w:rsidRPr="0060658F" w:rsidRDefault="0060658F" w:rsidP="0060658F">
            <w:pPr>
              <w:rPr>
                <w:rFonts w:ascii="Arial" w:hAnsi="Arial" w:cs="Arial"/>
              </w:rPr>
            </w:pPr>
          </w:p>
          <w:p w:rsidR="002253CC" w:rsidRPr="00A96C08" w:rsidRDefault="0060658F" w:rsidP="00606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  <w:r w:rsidR="00470B9F">
              <w:rPr>
                <w:rFonts w:ascii="Arial" w:hAnsi="Arial" w:cs="Arial"/>
              </w:rPr>
              <w:t>is was initially set as 2 month</w:t>
            </w:r>
            <w:r>
              <w:rPr>
                <w:rFonts w:ascii="Arial" w:hAnsi="Arial" w:cs="Arial"/>
              </w:rPr>
              <w:t>s</w:t>
            </w:r>
            <w:r w:rsidR="00470B9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work however, several months later, due to internal ICT constraints and external software provider issues, the work is still ongoing. </w:t>
            </w:r>
          </w:p>
        </w:tc>
      </w:tr>
      <w:tr w:rsidR="00B87695" w:rsidTr="001407B9">
        <w:tc>
          <w:tcPr>
            <w:tcW w:w="4282" w:type="dxa"/>
          </w:tcPr>
          <w:p w:rsidR="00B87695" w:rsidRPr="00B87695" w:rsidRDefault="00B87695" w:rsidP="00B05F1F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5642" w:type="dxa"/>
          </w:tcPr>
          <w:p w:rsidR="002253CC" w:rsidRPr="002253CC" w:rsidRDefault="002253CC" w:rsidP="002253CC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>Mish Tullar, Head of Corporate Strategy</w:t>
            </w:r>
          </w:p>
          <w:p w:rsidR="00B87695" w:rsidRPr="00A96C08" w:rsidRDefault="00B87695" w:rsidP="0060658F">
            <w:pPr>
              <w:rPr>
                <w:rFonts w:ascii="Arial" w:hAnsi="Arial" w:cs="Arial"/>
              </w:rPr>
            </w:pPr>
          </w:p>
        </w:tc>
      </w:tr>
      <w:tr w:rsidR="006F6326" w:rsidTr="001407B9">
        <w:tc>
          <w:tcPr>
            <w:tcW w:w="4282" w:type="dxa"/>
          </w:tcPr>
          <w:p w:rsidR="006F6326" w:rsidRDefault="006F6326" w:rsidP="00B05F1F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42" w:type="dxa"/>
          </w:tcPr>
          <w:p w:rsidR="00263039" w:rsidRDefault="001407B9" w:rsidP="0060658F">
            <w:pPr>
              <w:rPr>
                <w:rFonts w:ascii="Arial" w:hAnsi="Arial" w:cs="Arial"/>
              </w:rPr>
            </w:pPr>
            <w:r w:rsidRPr="001407B9">
              <w:rPr>
                <w:rFonts w:ascii="Arial" w:hAnsi="Arial" w:cs="Arial"/>
              </w:rPr>
              <w:t>T</w:t>
            </w:r>
            <w:r w:rsidR="009A224E">
              <w:rPr>
                <w:rFonts w:ascii="Arial" w:hAnsi="Arial" w:cs="Arial"/>
              </w:rPr>
              <w:t xml:space="preserve">he </w:t>
            </w:r>
            <w:r w:rsidRPr="001407B9">
              <w:rPr>
                <w:rFonts w:ascii="Arial" w:hAnsi="Arial" w:cs="Arial"/>
              </w:rPr>
              <w:t xml:space="preserve">option to choose not to deliver the programme was available, but was effectively ruled out </w:t>
            </w:r>
            <w:r w:rsidR="0060658F">
              <w:rPr>
                <w:rFonts w:ascii="Arial" w:hAnsi="Arial" w:cs="Arial"/>
              </w:rPr>
              <w:t>as this would not comply with Innovate funding and would undo several months of work.</w:t>
            </w:r>
          </w:p>
          <w:p w:rsidR="00470B9F" w:rsidRPr="00A96C08" w:rsidRDefault="00470B9F" w:rsidP="0060658F">
            <w:pPr>
              <w:rPr>
                <w:rFonts w:ascii="Arial" w:hAnsi="Arial" w:cs="Arial"/>
              </w:rPr>
            </w:pPr>
          </w:p>
        </w:tc>
      </w:tr>
      <w:tr w:rsidR="006F6326" w:rsidTr="001407B9">
        <w:trPr>
          <w:trHeight w:val="1018"/>
        </w:trPr>
        <w:tc>
          <w:tcPr>
            <w:tcW w:w="4282" w:type="dxa"/>
          </w:tcPr>
          <w:p w:rsidR="00C678ED" w:rsidRPr="00C678ED" w:rsidRDefault="006F6326" w:rsidP="00B05F1F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lastRenderedPageBreak/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5642" w:type="dxa"/>
          </w:tcPr>
          <w:p w:rsidR="006F6326" w:rsidRPr="00A96C08" w:rsidRDefault="002C4396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70B9F">
              <w:rPr>
                <w:rFonts w:ascii="Arial" w:hAnsi="Arial" w:cs="Arial"/>
              </w:rPr>
              <w:t>one</w:t>
            </w:r>
          </w:p>
        </w:tc>
      </w:tr>
      <w:tr w:rsidR="006F6326" w:rsidTr="001407B9">
        <w:tc>
          <w:tcPr>
            <w:tcW w:w="4282" w:type="dxa"/>
          </w:tcPr>
          <w:p w:rsidR="003505E0" w:rsidRDefault="003505E0" w:rsidP="00B05F1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42" w:type="dxa"/>
          </w:tcPr>
          <w:p w:rsidR="006F6326" w:rsidRPr="00A96C08" w:rsidRDefault="002253C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</w:tc>
      </w:tr>
      <w:tr w:rsidR="006F6326" w:rsidTr="001407B9">
        <w:tc>
          <w:tcPr>
            <w:tcW w:w="4282" w:type="dxa"/>
          </w:tcPr>
          <w:p w:rsidR="006F6326" w:rsidRPr="008E4629" w:rsidRDefault="006F6326" w:rsidP="00B05F1F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42" w:type="dxa"/>
          </w:tcPr>
          <w:p w:rsidR="006F6326" w:rsidRPr="00A96C08" w:rsidRDefault="002253C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1407B9">
        <w:tc>
          <w:tcPr>
            <w:tcW w:w="4282" w:type="dxa"/>
          </w:tcPr>
          <w:p w:rsidR="006F6326" w:rsidRPr="006F6326" w:rsidRDefault="006F6326" w:rsidP="00B05F1F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42" w:type="dxa"/>
          </w:tcPr>
          <w:p w:rsidR="006F6326" w:rsidRPr="00A96C08" w:rsidRDefault="002253C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1407B9">
        <w:tc>
          <w:tcPr>
            <w:tcW w:w="428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642" w:type="dxa"/>
          </w:tcPr>
          <w:p w:rsidR="004E0D08" w:rsidRDefault="004E0D08" w:rsidP="002253CC">
            <w:pPr>
              <w:rPr>
                <w:rFonts w:ascii="Arial" w:hAnsi="Arial" w:cs="Arial"/>
              </w:rPr>
            </w:pPr>
          </w:p>
          <w:p w:rsidR="004A049B" w:rsidRDefault="004E0D08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Kristina Mould</w:t>
            </w:r>
          </w:p>
          <w:p w:rsidR="004E0D08" w:rsidRDefault="004E0D08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 Programme Project Manager</w:t>
            </w:r>
          </w:p>
          <w:p w:rsidR="004E0D08" w:rsidRPr="00A96C08" w:rsidRDefault="002C4396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4E0D08">
              <w:rPr>
                <w:rFonts w:ascii="Arial" w:hAnsi="Arial" w:cs="Arial"/>
              </w:rPr>
              <w:t>/04/22</w:t>
            </w:r>
          </w:p>
        </w:tc>
      </w:tr>
    </w:tbl>
    <w:p w:rsidR="002611EB" w:rsidRDefault="002611EB" w:rsidP="008A22C6"/>
    <w:p w:rsidR="005C60B2" w:rsidRDefault="005C60B2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:rsidTr="002253CC">
        <w:trPr>
          <w:trHeight w:val="516"/>
        </w:trPr>
        <w:tc>
          <w:tcPr>
            <w:tcW w:w="3403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536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9A224E">
        <w:trPr>
          <w:trHeight w:val="516"/>
        </w:trPr>
        <w:tc>
          <w:tcPr>
            <w:tcW w:w="3403" w:type="dxa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284A42" w:rsidRDefault="00284A42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Mish Tullar, Head of Corporate Strategy</w:t>
            </w:r>
          </w:p>
          <w:p w:rsidR="00284A42" w:rsidRDefault="00284A42" w:rsidP="005C60B2">
            <w:pPr>
              <w:rPr>
                <w:rFonts w:ascii="Arial" w:hAnsi="Arial" w:cs="Arial"/>
              </w:rPr>
            </w:pPr>
          </w:p>
          <w:p w:rsidR="00284A42" w:rsidRDefault="00284A42" w:rsidP="005C60B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2750916" wp14:editId="1EEA7BC4">
                  <wp:extent cx="743909" cy="1480379"/>
                  <wp:effectExtent l="0" t="635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54812" cy="150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0B2" w:rsidRPr="005C60B2" w:rsidRDefault="005C60B2" w:rsidP="005C60B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C60B2" w:rsidRPr="005C60B2" w:rsidRDefault="006E28EE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06/04/22</w:t>
            </w:r>
          </w:p>
        </w:tc>
      </w:tr>
    </w:tbl>
    <w:p w:rsidR="005C60B2" w:rsidRPr="005C60B2" w:rsidRDefault="005C60B2" w:rsidP="002C4396">
      <w:pPr>
        <w:rPr>
          <w:rFonts w:ascii="Arial" w:hAnsi="Arial" w:cs="Arial"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p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9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834" w:rsidRDefault="00061834" w:rsidP="00F11FD1">
      <w:r>
        <w:separator/>
      </w:r>
    </w:p>
  </w:endnote>
  <w:endnote w:type="continuationSeparator" w:id="0">
    <w:p w:rsidR="00061834" w:rsidRDefault="00061834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834" w:rsidRDefault="00061834" w:rsidP="00F11FD1">
      <w:r>
        <w:separator/>
      </w:r>
    </w:p>
  </w:footnote>
  <w:footnote w:type="continuationSeparator" w:id="0">
    <w:p w:rsidR="00061834" w:rsidRDefault="00061834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61834"/>
    <w:rsid w:val="0008133A"/>
    <w:rsid w:val="000B4310"/>
    <w:rsid w:val="000F4239"/>
    <w:rsid w:val="001407B9"/>
    <w:rsid w:val="00177F95"/>
    <w:rsid w:val="002253CC"/>
    <w:rsid w:val="00231385"/>
    <w:rsid w:val="002611EB"/>
    <w:rsid w:val="00263039"/>
    <w:rsid w:val="00284A42"/>
    <w:rsid w:val="002A07C9"/>
    <w:rsid w:val="002B53D4"/>
    <w:rsid w:val="002C4396"/>
    <w:rsid w:val="002E61DD"/>
    <w:rsid w:val="00311150"/>
    <w:rsid w:val="00311769"/>
    <w:rsid w:val="00335A9B"/>
    <w:rsid w:val="003505E0"/>
    <w:rsid w:val="003547CD"/>
    <w:rsid w:val="00373F5D"/>
    <w:rsid w:val="003B1236"/>
    <w:rsid w:val="003F1CA2"/>
    <w:rsid w:val="004000D7"/>
    <w:rsid w:val="00405321"/>
    <w:rsid w:val="00424A92"/>
    <w:rsid w:val="00470B9F"/>
    <w:rsid w:val="004A049B"/>
    <w:rsid w:val="004B1944"/>
    <w:rsid w:val="004B2C3F"/>
    <w:rsid w:val="004E0D08"/>
    <w:rsid w:val="00504E43"/>
    <w:rsid w:val="00532DF2"/>
    <w:rsid w:val="005C60B2"/>
    <w:rsid w:val="005C6416"/>
    <w:rsid w:val="005E37E4"/>
    <w:rsid w:val="0060658F"/>
    <w:rsid w:val="00616F3F"/>
    <w:rsid w:val="006247C4"/>
    <w:rsid w:val="006E28EE"/>
    <w:rsid w:val="006F6326"/>
    <w:rsid w:val="006F6731"/>
    <w:rsid w:val="007023AB"/>
    <w:rsid w:val="007908F4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D4782"/>
    <w:rsid w:val="008E4629"/>
    <w:rsid w:val="0095603E"/>
    <w:rsid w:val="00986C99"/>
    <w:rsid w:val="009A224E"/>
    <w:rsid w:val="009F048F"/>
    <w:rsid w:val="009F6188"/>
    <w:rsid w:val="009F6401"/>
    <w:rsid w:val="00A12928"/>
    <w:rsid w:val="00A253FE"/>
    <w:rsid w:val="00A96C08"/>
    <w:rsid w:val="00AC5899"/>
    <w:rsid w:val="00B05F1F"/>
    <w:rsid w:val="00B15340"/>
    <w:rsid w:val="00B87695"/>
    <w:rsid w:val="00B91620"/>
    <w:rsid w:val="00B928EF"/>
    <w:rsid w:val="00B96916"/>
    <w:rsid w:val="00BD4490"/>
    <w:rsid w:val="00BE1FD4"/>
    <w:rsid w:val="00BF240D"/>
    <w:rsid w:val="00C07F80"/>
    <w:rsid w:val="00C251F7"/>
    <w:rsid w:val="00C6130E"/>
    <w:rsid w:val="00C678ED"/>
    <w:rsid w:val="00CB5E4F"/>
    <w:rsid w:val="00CD4BC9"/>
    <w:rsid w:val="00CE6085"/>
    <w:rsid w:val="00D255D6"/>
    <w:rsid w:val="00D33F83"/>
    <w:rsid w:val="00D543D9"/>
    <w:rsid w:val="00DB01D4"/>
    <w:rsid w:val="00DC2E8D"/>
    <w:rsid w:val="00DD1A34"/>
    <w:rsid w:val="00DD4885"/>
    <w:rsid w:val="00DD51B2"/>
    <w:rsid w:val="00E127E3"/>
    <w:rsid w:val="00E20A54"/>
    <w:rsid w:val="00E270E5"/>
    <w:rsid w:val="00E97F84"/>
    <w:rsid w:val="00F11FD1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D314-EBC5-4070-B8AD-A75A53A6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4B59F772</Template>
  <TotalTime>17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7</cp:revision>
  <cp:lastPrinted>2015-07-27T09:35:00Z</cp:lastPrinted>
  <dcterms:created xsi:type="dcterms:W3CDTF">2022-05-03T09:10:00Z</dcterms:created>
  <dcterms:modified xsi:type="dcterms:W3CDTF">2022-05-03T09:28:00Z</dcterms:modified>
</cp:coreProperties>
</file>